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BB5" w:rsidRPr="00080635" w:rsidRDefault="00080635" w:rsidP="00A61BB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sv-SE"/>
        </w:rPr>
      </w:pPr>
      <w:bookmarkStart w:id="0" w:name="_GoBack"/>
      <w:bookmarkEnd w:id="0"/>
      <w:r>
        <w:rPr>
          <w:rFonts w:ascii="Arial" w:hAnsi="Arial"/>
          <w:b/>
          <w:sz w:val="24"/>
          <w:szCs w:val="24"/>
          <w:lang w:val="sv-SE"/>
        </w:rPr>
        <w:t xml:space="preserve">3GPP TSG-RAN </w:t>
      </w:r>
      <w:r>
        <w:rPr>
          <w:rFonts w:ascii="Arial" w:hAnsi="Arial"/>
          <w:b/>
          <w:sz w:val="24"/>
          <w:szCs w:val="24"/>
          <w:lang w:val="sv-SE"/>
        </w:rPr>
        <w:tab/>
      </w:r>
      <w:r w:rsidR="00A61BB5" w:rsidRPr="00080635">
        <w:rPr>
          <w:rFonts w:ascii="Arial" w:hAnsi="Arial" w:cs="Arial"/>
          <w:b/>
          <w:sz w:val="24"/>
          <w:szCs w:val="24"/>
          <w:lang w:val="sv-SE"/>
        </w:rPr>
        <w:t>R4</w:t>
      </w:r>
      <w:r w:rsidRPr="00080635">
        <w:rPr>
          <w:rFonts w:ascii="Arial" w:hAnsi="Arial" w:cs="Arial"/>
          <w:b/>
          <w:sz w:val="24"/>
          <w:szCs w:val="24"/>
          <w:lang w:val="sv-SE"/>
        </w:rPr>
        <w:t>-</w:t>
      </w:r>
      <w:r w:rsidR="00602A90" w:rsidRPr="00602A90">
        <w:t xml:space="preserve"> </w:t>
      </w:r>
      <w:r w:rsidR="00602A90" w:rsidRPr="00602A90">
        <w:rPr>
          <w:rFonts w:ascii="Arial" w:hAnsi="Arial" w:cs="Arial"/>
          <w:b/>
          <w:sz w:val="24"/>
          <w:szCs w:val="24"/>
          <w:lang w:val="sv-SE"/>
        </w:rPr>
        <w:t>156459</w:t>
      </w:r>
    </w:p>
    <w:p w:rsidR="00A61BB5" w:rsidRDefault="00A61BB5" w:rsidP="00A61BB5">
      <w:pPr>
        <w:pStyle w:val="Header"/>
        <w:rPr>
          <w:noProof w:val="0"/>
          <w:lang w:val="en-GB"/>
        </w:rPr>
      </w:pPr>
      <w:r>
        <w:rPr>
          <w:rFonts w:eastAsia="Times New Roman" w:cs="Arial"/>
          <w:bCs/>
          <w:noProof w:val="0"/>
          <w:sz w:val="22"/>
          <w:lang w:val="en-GB" w:eastAsia="ja-JP"/>
        </w:rPr>
        <w:t xml:space="preserve">Sophia Antipolis, France, </w:t>
      </w:r>
      <w:r w:rsidR="003A5984">
        <w:rPr>
          <w:rFonts w:eastAsia="Times New Roman" w:cs="Arial"/>
          <w:bCs/>
          <w:noProof w:val="0"/>
          <w:sz w:val="22"/>
          <w:lang w:val="en-GB" w:eastAsia="ja-JP"/>
        </w:rPr>
        <w:t xml:space="preserve">October </w:t>
      </w:r>
      <w:r>
        <w:rPr>
          <w:rFonts w:eastAsia="Times New Roman" w:cs="Arial"/>
          <w:bCs/>
          <w:noProof w:val="0"/>
          <w:sz w:val="22"/>
          <w:lang w:val="en-GB" w:eastAsia="ja-JP"/>
        </w:rPr>
        <w:t>12</w:t>
      </w:r>
      <w:r w:rsidR="003A5984" w:rsidRPr="003A5984">
        <w:rPr>
          <w:rFonts w:eastAsia="Times New Roman" w:cs="Arial"/>
          <w:bCs/>
          <w:noProof w:val="0"/>
          <w:sz w:val="22"/>
          <w:vertAlign w:val="superscript"/>
          <w:lang w:val="en-GB" w:eastAsia="ja-JP"/>
        </w:rPr>
        <w:t>th</w:t>
      </w:r>
      <w:r w:rsidR="003A5984">
        <w:rPr>
          <w:rFonts w:eastAsia="Times New Roman" w:cs="Arial"/>
          <w:bCs/>
          <w:noProof w:val="0"/>
          <w:sz w:val="22"/>
          <w:lang w:val="en-GB" w:eastAsia="ja-JP"/>
        </w:rPr>
        <w:t xml:space="preserve"> </w:t>
      </w:r>
      <w:r>
        <w:rPr>
          <w:rFonts w:eastAsia="Times New Roman" w:cs="Arial"/>
          <w:bCs/>
          <w:noProof w:val="0"/>
          <w:sz w:val="22"/>
          <w:lang w:val="en-GB" w:eastAsia="ja-JP"/>
        </w:rPr>
        <w:t xml:space="preserve">– </w:t>
      </w:r>
      <w:r w:rsidR="003A5984">
        <w:rPr>
          <w:rFonts w:eastAsia="Times New Roman" w:cs="Arial"/>
          <w:bCs/>
          <w:noProof w:val="0"/>
          <w:sz w:val="22"/>
          <w:lang w:val="en-GB" w:eastAsia="ja-JP"/>
        </w:rPr>
        <w:t>1</w:t>
      </w:r>
      <w:r>
        <w:rPr>
          <w:rFonts w:eastAsia="Times New Roman" w:cs="Arial"/>
          <w:bCs/>
          <w:noProof w:val="0"/>
          <w:sz w:val="22"/>
          <w:lang w:val="en-GB" w:eastAsia="ja-JP"/>
        </w:rPr>
        <w:t>6</w:t>
      </w:r>
      <w:r w:rsidRPr="003A5984">
        <w:rPr>
          <w:rFonts w:eastAsia="Times New Roman" w:cs="Arial"/>
          <w:bCs/>
          <w:noProof w:val="0"/>
          <w:sz w:val="22"/>
          <w:vertAlign w:val="superscript"/>
          <w:lang w:val="en-GB" w:eastAsia="ja-JP"/>
        </w:rPr>
        <w:t>th</w:t>
      </w:r>
      <w:r w:rsidR="003A5984">
        <w:rPr>
          <w:rFonts w:eastAsia="Times New Roman" w:cs="Arial"/>
          <w:bCs/>
          <w:noProof w:val="0"/>
          <w:sz w:val="22"/>
          <w:lang w:val="en-GB" w:eastAsia="ja-JP"/>
        </w:rPr>
        <w:t xml:space="preserve"> </w:t>
      </w:r>
      <w:r>
        <w:rPr>
          <w:rFonts w:eastAsia="Times New Roman" w:cs="Arial"/>
          <w:bCs/>
          <w:noProof w:val="0"/>
          <w:sz w:val="22"/>
          <w:lang w:val="en-GB" w:eastAsia="ja-JP"/>
        </w:rPr>
        <w:t xml:space="preserve">  2015</w:t>
      </w:r>
    </w:p>
    <w:p w:rsidR="00A61BB5" w:rsidRPr="008C4D7E" w:rsidRDefault="00A61BB5" w:rsidP="00A61BB5">
      <w:pPr>
        <w:pStyle w:val="Header"/>
        <w:rPr>
          <w:noProof w:val="0"/>
          <w:lang w:val="en-GB"/>
        </w:rPr>
      </w:pPr>
    </w:p>
    <w:p w:rsidR="00A61BB5" w:rsidRDefault="00A61BB5" w:rsidP="00A61BB5">
      <w:pPr>
        <w:pStyle w:val="Footer"/>
        <w:rPr>
          <w:noProof w:val="0"/>
        </w:rPr>
      </w:pPr>
    </w:p>
    <w:p w:rsidR="00A61BB5" w:rsidRDefault="00A61BB5" w:rsidP="00A61BB5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:rsidR="00A61BB5" w:rsidRDefault="00A61BB5" w:rsidP="00A61BB5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02A90">
        <w:rPr>
          <w:rFonts w:ascii="Arial" w:hAnsi="Arial" w:cs="Arial"/>
          <w:sz w:val="24"/>
          <w:szCs w:val="24"/>
        </w:rPr>
        <w:t>Interference model for</w:t>
      </w:r>
      <w:r w:rsidR="003A5984" w:rsidRPr="003A5984">
        <w:rPr>
          <w:rFonts w:ascii="Arial" w:hAnsi="Arial" w:cs="Arial"/>
          <w:sz w:val="24"/>
          <w:szCs w:val="24"/>
        </w:rPr>
        <w:t xml:space="preserve"> control channel interference </w:t>
      </w:r>
    </w:p>
    <w:p w:rsidR="00080635" w:rsidRPr="00AB3D40" w:rsidRDefault="00080635" w:rsidP="0008063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02A90">
        <w:rPr>
          <w:rFonts w:ascii="Arial" w:hAnsi="Arial" w:cs="Arial"/>
          <w:sz w:val="22"/>
        </w:rPr>
        <w:t>7.4.3</w:t>
      </w:r>
    </w:p>
    <w:p w:rsidR="00A61BB5" w:rsidRDefault="00A61BB5" w:rsidP="00A61BB5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A61BB5" w:rsidRDefault="00A61BB5" w:rsidP="00A61BB5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:rsidR="00782D96" w:rsidRDefault="008F7C00">
      <w:pPr>
        <w:rPr>
          <w:color w:val="000000"/>
          <w:lang w:val="en-US"/>
        </w:rPr>
      </w:pPr>
      <w:r>
        <w:rPr>
          <w:color w:val="000000"/>
          <w:lang w:val="en-US"/>
        </w:rPr>
        <w:t>In</w:t>
      </w:r>
      <w:r w:rsidR="00A61BB5" w:rsidRPr="00220E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work item </w:t>
      </w:r>
      <w:r>
        <w:t>RP-151107</w:t>
      </w:r>
      <w:r w:rsidR="00A61BB5" w:rsidRPr="00220E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[1], </w:t>
      </w:r>
      <w:r w:rsidR="00A61BB5" w:rsidRPr="00220E83">
        <w:rPr>
          <w:color w:val="000000"/>
          <w:lang w:val="en-US"/>
        </w:rPr>
        <w:t>it was proposed to use advance</w:t>
      </w:r>
      <w:r w:rsidR="00DF78EC">
        <w:rPr>
          <w:color w:val="000000"/>
          <w:lang w:val="en-US"/>
        </w:rPr>
        <w:t>d</w:t>
      </w:r>
      <w:r w:rsidR="00A61BB5" w:rsidRPr="00220E83">
        <w:rPr>
          <w:color w:val="000000"/>
          <w:lang w:val="en-US"/>
        </w:rPr>
        <w:t xml:space="preserve"> receiver architectures for control channel </w:t>
      </w:r>
      <w:r w:rsidR="0042526F">
        <w:rPr>
          <w:color w:val="000000"/>
          <w:lang w:val="en-US"/>
        </w:rPr>
        <w:t xml:space="preserve">interference </w:t>
      </w:r>
      <w:r w:rsidR="00A61BB5" w:rsidRPr="00220E83">
        <w:rPr>
          <w:color w:val="000000"/>
          <w:lang w:val="en-US"/>
        </w:rPr>
        <w:t>mitigation.</w:t>
      </w:r>
      <w:r w:rsidR="00602A90">
        <w:rPr>
          <w:color w:val="000000"/>
          <w:lang w:val="en-US"/>
        </w:rPr>
        <w:t xml:space="preserve"> The advanced reference receiver needs to be evaluated under a reasonable interference model for control channel.</w:t>
      </w:r>
      <w:r w:rsidR="00A61BB5" w:rsidRPr="00220E83">
        <w:rPr>
          <w:color w:val="000000"/>
          <w:lang w:val="en-US"/>
        </w:rPr>
        <w:t xml:space="preserve"> In</w:t>
      </w:r>
      <w:r w:rsidR="00602A90">
        <w:rPr>
          <w:color w:val="000000"/>
          <w:lang w:val="en-US"/>
        </w:rPr>
        <w:t xml:space="preserve"> this contribution, we describe possible interference models for control channel interference. </w:t>
      </w:r>
    </w:p>
    <w:p w:rsidR="00136428" w:rsidRDefault="00136428">
      <w:pPr>
        <w:rPr>
          <w:color w:val="000000"/>
          <w:lang w:val="en-US"/>
        </w:rPr>
      </w:pPr>
    </w:p>
    <w:p w:rsidR="00622249" w:rsidRDefault="00602A90" w:rsidP="00622249">
      <w:pPr>
        <w:pStyle w:val="Heading1"/>
        <w:rPr>
          <w:lang w:val="en-US"/>
        </w:rPr>
      </w:pPr>
      <w:r>
        <w:rPr>
          <w:lang w:val="en-US"/>
        </w:rPr>
        <w:t>Interference Modelling</w:t>
      </w:r>
    </w:p>
    <w:p w:rsidR="00D914E4" w:rsidRPr="00D914E4" w:rsidRDefault="00D914E4" w:rsidP="00D914E4">
      <w:pPr>
        <w:rPr>
          <w:lang w:val="en-US"/>
        </w:rPr>
      </w:pPr>
      <w:r>
        <w:rPr>
          <w:lang w:val="en-US"/>
        </w:rPr>
        <w:t xml:space="preserve">In this section, we describe parameters that critically </w:t>
      </w:r>
      <w:r w:rsidR="00B5711F">
        <w:rPr>
          <w:lang w:val="en-US"/>
        </w:rPr>
        <w:t xml:space="preserve">influence interference modeling for control channel </w:t>
      </w:r>
      <w:r w:rsidR="001C2E47">
        <w:rPr>
          <w:lang w:val="en-US"/>
        </w:rPr>
        <w:t>i</w:t>
      </w:r>
      <w:r w:rsidR="00B5711F">
        <w:rPr>
          <w:lang w:val="en-US"/>
        </w:rPr>
        <w:t xml:space="preserve">nterference. </w:t>
      </w:r>
    </w:p>
    <w:p w:rsidR="00D914E4" w:rsidRDefault="00D914E4" w:rsidP="00136428">
      <w:pPr>
        <w:pStyle w:val="Heading2"/>
      </w:pPr>
      <w:r w:rsidRPr="00136428">
        <w:t>Power levels</w:t>
      </w:r>
    </w:p>
    <w:p w:rsidR="00CB03AE" w:rsidRDefault="00067743" w:rsidP="00173E7A">
      <w:r>
        <w:t xml:space="preserve">The interfering neighbours can be classified into two groups (a) dominant interferer(s) and (b) non-dominant </w:t>
      </w:r>
      <w:r w:rsidR="00173E7A">
        <w:t>interferer</w:t>
      </w:r>
      <w:r w:rsidR="001C2E47">
        <w:t>s</w:t>
      </w:r>
      <w:r w:rsidR="00173E7A">
        <w:t>. A UE equipped with an advanced receiver like MMSE-IRC, CRS-IC or eMMSE-IRC will try to mitigate interference from the dominant interferers, while treat the interference from non-dominant interferer</w:t>
      </w:r>
      <w:r w:rsidR="000202F4">
        <w:t>(s)</w:t>
      </w:r>
      <w:r w:rsidR="00173E7A">
        <w:t xml:space="preserve"> as AWGN.</w:t>
      </w:r>
      <w:r w:rsidR="006C2EAC">
        <w:t xml:space="preserve"> </w:t>
      </w:r>
      <w:r w:rsidR="00CB03AE">
        <w:t>We can define dominant neighbo</w:t>
      </w:r>
      <w:r w:rsidR="003A2C81">
        <w:t>u</w:t>
      </w:r>
      <w:r w:rsidR="00CB03AE">
        <w:t xml:space="preserve">rs through their </w:t>
      </w:r>
      <w:r w:rsidR="00872DF9">
        <w:t xml:space="preserve">received </w:t>
      </w:r>
      <w:r w:rsidR="00CB03AE">
        <w:t>power levels relative to the sum of noise power and power of all the non-dominant interferers. Following [2]</w:t>
      </w:r>
      <w:r w:rsidR="00BA64FB">
        <w:t xml:space="preserve">, we first define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</m:oMath>
      <w:r w:rsidR="00BA64FB">
        <w:t xml:space="preserve"> </w:t>
      </w:r>
    </w:p>
    <w:p w:rsidR="00BA64FB" w:rsidRDefault="00E1735E" w:rsidP="00BA64FB">
      <w:pPr>
        <w:ind w:left="2880" w:firstLine="7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M+2</m:t>
            </m:r>
          </m:sub>
          <m:sup>
            <m:sSub>
              <m:sSub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BS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or</m:t>
                </m:r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nary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BA64FB">
        <w:t>,</w:t>
      </w:r>
      <w:r w:rsidR="002B5373">
        <w:t xml:space="preserve"> </w:t>
      </w:r>
      <w:r w:rsidR="002B5373">
        <w:tab/>
      </w:r>
      <w:r w:rsidR="002B5373">
        <w:tab/>
      </w:r>
      <w:r w:rsidR="002B5373">
        <w:tab/>
      </w:r>
      <w:r w:rsidR="002B5373">
        <w:tab/>
      </w:r>
      <w:r w:rsidR="002B5373">
        <w:tab/>
      </w:r>
    </w:p>
    <w:p w:rsidR="00274CFA" w:rsidRDefault="00BA64FB" w:rsidP="00BA64FB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or</m:t>
            </m:r>
            <m:r>
              <w:rPr>
                <w:rFonts w:ascii="Cambria Math" w:hAnsi="Cambria Math"/>
              </w:rPr>
              <m:t>j</m:t>
            </m:r>
          </m:sub>
        </m:sSub>
      </m:oMath>
      <w:r>
        <w:t xml:space="preserve"> is received power spectral density of the </w:t>
      </w:r>
      <w:r>
        <w:rPr>
          <w:i/>
        </w:rPr>
        <w:t>j</w:t>
      </w:r>
      <w:r w:rsidRPr="00BA64FB">
        <w:rPr>
          <w:vertAlign w:val="superscript"/>
        </w:rPr>
        <w:t>th</w:t>
      </w:r>
      <w:r>
        <w:rPr>
          <w:vertAlign w:val="superscript"/>
        </w:rPr>
        <w:t xml:space="preserve">  </w:t>
      </w:r>
      <w:r>
        <w:t>strongest base stat</w:t>
      </w:r>
      <w:r w:rsidR="00E30CE5">
        <w:t xml:space="preserve">ion measured at </w:t>
      </w:r>
      <w:r w:rsidR="00274CFA">
        <w:t>UE on</w:t>
      </w:r>
      <w:r w:rsidR="00981875">
        <w:t xml:space="preserve"> the </w:t>
      </w:r>
      <w:r w:rsidR="00F330FC">
        <w:t xml:space="preserve">CRS </w:t>
      </w:r>
      <w:r w:rsidR="002B5373">
        <w:t>R</w:t>
      </w:r>
      <w:r w:rsidR="00B6726F">
        <w:t>E locations of</w:t>
      </w:r>
      <w:r w:rsidR="00F330FC">
        <w:t xml:space="preserve"> the serving cell.</w:t>
      </w:r>
      <w:r w:rsidR="00981875">
        <w:t xml:space="preserve"> </w:t>
      </w:r>
      <w:r w:rsidR="00274CFA">
        <w:t>Specifically,</w:t>
      </w:r>
      <w:r w:rsidR="002B537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or</m:t>
            </m:r>
            <m:r>
              <w:rPr>
                <w:rFonts w:ascii="Cambria Math" w:hAnsi="Cambria Math"/>
              </w:rPr>
              <m:t>1</m:t>
            </m:r>
          </m:sub>
        </m:sSub>
      </m:oMath>
      <w:r w:rsidR="002B5373">
        <w:t xml:space="preserve"> denotes the received power spectral density of the serving cell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or</m:t>
            </m:r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 xml:space="preserve"> ∀ j&lt;M+1</m:t>
        </m:r>
      </m:oMath>
      <w:r w:rsidR="002B5373">
        <w:t xml:space="preserve"> denotes the received power spectral density</w:t>
      </w:r>
      <w:r w:rsidR="00576B5B">
        <w:t xml:space="preserve">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j-1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th</m:t>
            </m:r>
          </m:sup>
        </m:sSup>
      </m:oMath>
      <w:r w:rsidR="002B5373">
        <w:t xml:space="preserve"> dominant neighbor</w:t>
      </w:r>
      <w:r w:rsidR="00026ED3">
        <w:t xml:space="preserve">. </w:t>
      </w:r>
      <w:r w:rsidR="00026ED3">
        <w:rPr>
          <w:i/>
        </w:rPr>
        <w:t>N</w:t>
      </w:r>
      <w:r w:rsidR="00026ED3" w:rsidRPr="00026ED3">
        <w:rPr>
          <w:vertAlign w:val="subscript"/>
        </w:rPr>
        <w:t>BS</w:t>
      </w:r>
      <w:r w:rsidR="00026ED3">
        <w:rPr>
          <w:vertAlign w:val="subscript"/>
        </w:rPr>
        <w:t xml:space="preserve"> </w:t>
      </w:r>
      <w:r w:rsidR="00026ED3">
        <w:t xml:space="preserve">denotes the total number of base-stations and </w:t>
      </w:r>
      <w:r w:rsidR="00026ED3">
        <w:rPr>
          <w:i/>
        </w:rPr>
        <w:t xml:space="preserve">M </w:t>
      </w:r>
      <w:r w:rsidR="00026ED3" w:rsidRPr="00026ED3">
        <w:t>denotes the number of dominant neighbo</w:t>
      </w:r>
      <w:r w:rsidR="001A7F73">
        <w:t>u</w:t>
      </w:r>
      <w:r w:rsidR="00026ED3" w:rsidRPr="00026ED3">
        <w:t>rs.</w:t>
      </w:r>
      <w:r w:rsidR="00C8408C">
        <w:t xml:space="preserve"> </w:t>
      </w:r>
      <w:r w:rsidR="00274CFA">
        <w:t>Note that,</w:t>
      </w:r>
      <w:r w:rsidR="009A1BD8">
        <w:t xml:space="preserve"> we can think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</m:oMath>
      <w:r w:rsidR="00274CFA">
        <w:t xml:space="preserve"> </w:t>
      </w:r>
      <w:r w:rsidR="009A1BD8">
        <w:t xml:space="preserve">as the </w:t>
      </w:r>
      <w:r w:rsidR="00274CFA">
        <w:t>“elevated” noise-floor observed at the UE on the CRS RE locations</w:t>
      </w:r>
      <w:r w:rsidR="009A1BD8">
        <w:t xml:space="preserve"> of the serving cells</w:t>
      </w:r>
      <w:r w:rsidR="00274CFA">
        <w:t>.</w:t>
      </w:r>
    </w:p>
    <w:p w:rsidR="00115977" w:rsidRDefault="00C8408C" w:rsidP="00BA64FB">
      <w:r>
        <w:t>For the purpose of modelling interference, we can assume that the transmitted tone power of the CRS tones, control channel tones,</w:t>
      </w:r>
      <w:r w:rsidR="00115977">
        <w:t xml:space="preserve"> data tones, etc. are the same, i.e., the TPR for all the interferers is 1. </w:t>
      </w:r>
      <w:r>
        <w:t xml:space="preserve">Further, we can assume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or</m:t>
            </m:r>
            <m:r>
              <w:rPr>
                <w:rFonts w:ascii="Cambria Math" w:hAnsi="Cambria Math"/>
              </w:rPr>
              <m:t>j</m:t>
            </m:r>
          </m:sub>
        </m:sSub>
      </m:oMath>
      <w:r>
        <w:t xml:space="preserve"> is received </w:t>
      </w:r>
      <w:r w:rsidR="002D4BBB">
        <w:t>power spectral density under full loading.</w:t>
      </w:r>
      <w:r w:rsidR="00BE6AF6">
        <w:t xml:space="preserve"> </w:t>
      </w:r>
      <w:r w:rsidR="00115977">
        <w:t xml:space="preserve">Thus, the interference profile of the </w:t>
      </w:r>
      <w:r w:rsidR="009640A0">
        <w:t xml:space="preserve">dominant interference </w:t>
      </w:r>
      <w:r w:rsidR="007F3C1A">
        <w:t xml:space="preserve">cells </w:t>
      </w:r>
      <w:r w:rsidR="00115977">
        <w:t xml:space="preserve">can be defined by the ratio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or</m:t>
            </m:r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</m:oMath>
      <w:r w:rsidR="00110A2C">
        <w:t xml:space="preserve"> (interference-to-noise ratio, INR)</w:t>
      </w:r>
      <w:r w:rsidR="00115977">
        <w:t xml:space="preserve">, while the serving cell profile is defined by the ratio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or1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</m:oMath>
      <w:r w:rsidR="00110A2C">
        <w:t xml:space="preserve"> (signal-to-noise ratio, SNR)</w:t>
      </w:r>
      <w:r w:rsidR="00115977">
        <w:t>.</w:t>
      </w:r>
      <w:r w:rsidR="00D644E5">
        <w:t xml:space="preserve"> </w:t>
      </w:r>
    </w:p>
    <w:p w:rsidR="005505C1" w:rsidRDefault="007B3491" w:rsidP="00BA64FB">
      <w:r>
        <w:t xml:space="preserve">For interference profile, we would like to propose </w:t>
      </w:r>
      <w:r w:rsidR="005F2EAB">
        <w:t xml:space="preserve">to reuse the </w:t>
      </w:r>
      <w:r w:rsidR="000E4946">
        <w:t xml:space="preserve">system level study </w:t>
      </w:r>
      <w:r w:rsidR="005F2EAB">
        <w:t xml:space="preserve">result </w:t>
      </w:r>
      <w:r>
        <w:t>in [2]</w:t>
      </w:r>
      <w:r w:rsidR="005F2EAB">
        <w:t xml:space="preserve"> which was obtained for homogeneous network deployment</w:t>
      </w:r>
      <w:r>
        <w:t xml:space="preserve">. </w:t>
      </w:r>
    </w:p>
    <w:p w:rsidR="000E4946" w:rsidRDefault="000E4946" w:rsidP="00BA64FB">
      <w:r w:rsidRPr="0046158D">
        <w:rPr>
          <w:b/>
        </w:rPr>
        <w:t>Proposal</w:t>
      </w:r>
      <w:r>
        <w:t xml:space="preserve"> 1. Reuse system level study result from CRS-IM WI for interference profile</w:t>
      </w:r>
      <w:r w:rsidR="00BF1E2D">
        <w:t xml:space="preserve"> with two explicitly </w:t>
      </w:r>
      <w:r w:rsidR="00E604E6">
        <w:t>modelled</w:t>
      </w:r>
      <w:r w:rsidR="00BF1E2D">
        <w:t xml:space="preserve"> dominant interference cells</w:t>
      </w:r>
      <w:r>
        <w:t xml:space="preserve">. </w:t>
      </w:r>
    </w:p>
    <w:p w:rsidR="000E4946" w:rsidRDefault="000E4946" w:rsidP="00BA64FB"/>
    <w:p w:rsidR="00864D63" w:rsidRDefault="00864D63" w:rsidP="00864D63">
      <w:pPr>
        <w:pStyle w:val="Heading2"/>
      </w:pPr>
      <w:r>
        <w:lastRenderedPageBreak/>
        <w:t xml:space="preserve"> CFI</w:t>
      </w:r>
    </w:p>
    <w:p w:rsidR="00B012FC" w:rsidRDefault="00864D63" w:rsidP="00864D63">
      <w:r>
        <w:t xml:space="preserve">In </w:t>
      </w:r>
      <w:r w:rsidR="007568A4">
        <w:t xml:space="preserve">order to model control channel interference, we need </w:t>
      </w:r>
      <w:r w:rsidR="001E3ED3">
        <w:t xml:space="preserve">to define CFI of the interfering cells. The number of PDCCH symbols of the interfering cell can be less than, equal to or greater than the number of PDCCH </w:t>
      </w:r>
      <w:r w:rsidR="00896593">
        <w:t xml:space="preserve">symbols </w:t>
      </w:r>
      <w:r w:rsidR="001E3ED3">
        <w:t xml:space="preserve">of the serving cell. </w:t>
      </w:r>
      <w:r w:rsidR="00BB6B28">
        <w:t xml:space="preserve">In case the number of PDCCH symbols of the </w:t>
      </w:r>
      <w:r w:rsidR="0047768E">
        <w:t>interfering cell</w:t>
      </w:r>
      <w:r w:rsidR="00BB6B28">
        <w:t xml:space="preserve"> is less than that of the serving cell, </w:t>
      </w:r>
      <w:r w:rsidR="00732ACF">
        <w:t xml:space="preserve">UE will observe </w:t>
      </w:r>
      <w:r w:rsidR="00BB6B28">
        <w:t>interference fr</w:t>
      </w:r>
      <w:r w:rsidR="0047768E">
        <w:t xml:space="preserve">om </w:t>
      </w:r>
      <w:r w:rsidR="001C1FC7">
        <w:t xml:space="preserve">control channel tones, CRS tones </w:t>
      </w:r>
      <w:r w:rsidR="00732ACF">
        <w:t>as well as data tones</w:t>
      </w:r>
      <w:r w:rsidR="0047768E">
        <w:t xml:space="preserve"> of the interfering cell</w:t>
      </w:r>
      <w:r w:rsidR="00732ACF">
        <w:t>, on its control channel tones</w:t>
      </w:r>
      <w:r w:rsidR="0047768E">
        <w:t xml:space="preserve">. </w:t>
      </w:r>
      <w:r w:rsidR="00740C1C">
        <w:t>On the other hand, if the number of PDCCH symbols of the interfering cell is greater than</w:t>
      </w:r>
      <w:r w:rsidR="00896593">
        <w:t xml:space="preserve"> or equal to the number of PDCCH </w:t>
      </w:r>
      <w:r w:rsidR="00732ACF">
        <w:t xml:space="preserve">symbols of the serving cell, then the </w:t>
      </w:r>
      <w:r w:rsidR="001C1FC7">
        <w:t>UE will observe interference only from the control channel tones and CRS tones of the interfering cell.</w:t>
      </w:r>
    </w:p>
    <w:p w:rsidR="00B012FC" w:rsidRPr="00864D63" w:rsidRDefault="00B012FC" w:rsidP="00864D63">
      <w:r>
        <w:t>Since the modulation and spatial structure of the interference due to data tones of the interfering cells can be significantly different from the CRS tones &amp; control channel tones</w:t>
      </w:r>
      <w:r w:rsidR="00B71C94">
        <w:t xml:space="preserve">, </w:t>
      </w:r>
      <w:r w:rsidR="000F2CB6">
        <w:t xml:space="preserve">handling of PDSCH interference would cause significant increase </w:t>
      </w:r>
      <w:r w:rsidR="005133AB">
        <w:t xml:space="preserve">in </w:t>
      </w:r>
      <w:r w:rsidR="000F2CB6">
        <w:t>receiver complexity</w:t>
      </w:r>
      <w:r w:rsidR="00B71C94">
        <w:t xml:space="preserve">. Hence, we </w:t>
      </w:r>
      <w:r w:rsidR="003E5FD8">
        <w:t>would like to</w:t>
      </w:r>
      <w:r w:rsidR="00B71C94">
        <w:t xml:space="preserve"> </w:t>
      </w:r>
      <w:r w:rsidR="003E5FD8">
        <w:t xml:space="preserve">propose </w:t>
      </w:r>
      <w:r w:rsidR="006F4997">
        <w:t>to limit</w:t>
      </w:r>
      <w:r w:rsidR="003365E5">
        <w:t xml:space="preserve"> </w:t>
      </w:r>
      <w:r w:rsidR="006F4997">
        <w:t xml:space="preserve">the scenario </w:t>
      </w:r>
      <w:r w:rsidR="003F6BDD">
        <w:t xml:space="preserve">scenarios where </w:t>
      </w:r>
      <w:r w:rsidR="003365E5">
        <w:t xml:space="preserve">CFI of interfering </w:t>
      </w:r>
      <w:r w:rsidR="007379C7">
        <w:t xml:space="preserve">cell is greater than or equal to that of </w:t>
      </w:r>
      <w:r w:rsidR="00040DB4">
        <w:t xml:space="preserve">serving cell. </w:t>
      </w:r>
      <w:r w:rsidR="00620F1A">
        <w:t>Since the objective of [1] is to identify the impact of</w:t>
      </w:r>
      <w:r w:rsidR="003637D1">
        <w:t xml:space="preserve"> control channel interference mitigation</w:t>
      </w:r>
      <w:r w:rsidR="00E664AF">
        <w:t>, we can further limit the scenarios to cases where CFI of the interfering cell is same as that of the serving cell.</w:t>
      </w:r>
    </w:p>
    <w:p w:rsidR="00781165" w:rsidRDefault="00781165" w:rsidP="00864D63">
      <w:r w:rsidRPr="004C54E4">
        <w:rPr>
          <w:b/>
        </w:rPr>
        <w:t>Proposal</w:t>
      </w:r>
      <w:r>
        <w:t xml:space="preserve"> </w:t>
      </w:r>
      <w:r w:rsidR="00BF1E2D">
        <w:t>2</w:t>
      </w:r>
      <w:r>
        <w:t xml:space="preserve">. Assume </w:t>
      </w:r>
      <w:r w:rsidR="005505C1">
        <w:t xml:space="preserve">that </w:t>
      </w:r>
      <w:r>
        <w:t xml:space="preserve">CFI of interfering cell is same as that of serving cell. </w:t>
      </w:r>
    </w:p>
    <w:p w:rsidR="00D914E4" w:rsidRPr="00136428" w:rsidRDefault="00173E7A" w:rsidP="00136428">
      <w:pPr>
        <w:pStyle w:val="Heading2"/>
      </w:pPr>
      <w:r w:rsidRPr="00136428">
        <w:t xml:space="preserve">Resource-utilization </w:t>
      </w:r>
      <w:r w:rsidR="00AB5269" w:rsidRPr="00136428">
        <w:t>(loading)</w:t>
      </w:r>
    </w:p>
    <w:p w:rsidR="001B1BFA" w:rsidRDefault="008E42D0" w:rsidP="00D914E4">
      <w:r>
        <w:t>In context of control channels, resource utilization of an interfering neighbour is the fractio</w:t>
      </w:r>
      <w:r w:rsidR="007F58B2">
        <w:t xml:space="preserve">n of CCEs </w:t>
      </w:r>
      <w:r w:rsidR="002D2A32">
        <w:t xml:space="preserve">(among the </w:t>
      </w:r>
      <w:r w:rsidR="00A90F99">
        <w:t xml:space="preserve">total number </w:t>
      </w:r>
      <w:r w:rsidR="002D2A32">
        <w:t xml:space="preserve">CCEs) </w:t>
      </w:r>
      <w:r w:rsidR="007F58B2">
        <w:t xml:space="preserve">that are scheduled by the interfering cells. </w:t>
      </w:r>
      <w:r w:rsidR="008F1F09">
        <w:t xml:space="preserve">Note </w:t>
      </w:r>
      <w:r w:rsidR="00A90F99">
        <w:t>that</w:t>
      </w:r>
      <w:r w:rsidR="008F1F09">
        <w:t>, the n</w:t>
      </w:r>
      <w:r w:rsidR="0024757C">
        <w:t>umber of available CCEs at the interfering cell will depend up</w:t>
      </w:r>
      <w:r w:rsidR="00183441">
        <w:t xml:space="preserve">on the CFI of interfering cell, PHICH </w:t>
      </w:r>
      <w:r w:rsidR="0024757C">
        <w:t xml:space="preserve">density etc. </w:t>
      </w:r>
      <w:r w:rsidR="00AB5269">
        <w:t>It is possible to define res</w:t>
      </w:r>
      <w:r w:rsidR="00D93C39">
        <w:t xml:space="preserve">ource utilization for each interferer (dominant as well as non-dominant). </w:t>
      </w:r>
    </w:p>
    <w:p w:rsidR="00D914E4" w:rsidRDefault="00D93C39" w:rsidP="00D914E4">
      <w:r>
        <w:t xml:space="preserve">If we assume fractional resource utilization of the non-dominant interferers, then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</m:oMath>
      <w:r>
        <w:t xml:space="preserve"> will need to be modified as follows</w:t>
      </w:r>
    </w:p>
    <w:p w:rsidR="00D93C39" w:rsidRDefault="00E1735E" w:rsidP="00D93C39">
      <w:pPr>
        <w:ind w:left="2880" w:firstLine="7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M+2</m:t>
            </m:r>
          </m:sub>
          <m:sup>
            <m:sSub>
              <m:sSub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BS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or</m:t>
                </m:r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nary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D93C39">
        <w:t>,</w:t>
      </w:r>
    </w:p>
    <w:p w:rsidR="00D93C39" w:rsidRDefault="00D93C39" w:rsidP="00D93C39">
      <w:r w:rsidRPr="00D93C39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∈[0,1]</m:t>
        </m:r>
      </m:oMath>
      <w:r>
        <w:t xml:space="preserve"> is the resource utilization of the </w:t>
      </w:r>
      <w:r w:rsidRPr="00D93C39">
        <w:rPr>
          <w:i/>
        </w:rPr>
        <w:t>j</w:t>
      </w:r>
      <w:r w:rsidRPr="00D93C39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non-dominant interferer. For simplicity, we can assume that the resource utilization of all the non-dom</w:t>
      </w:r>
      <w:r w:rsidR="001B1BFA">
        <w:t xml:space="preserve">inant interfering users is same,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 xml:space="preserve">=α ∀ j∈{M+2,…,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BS </m:t>
            </m:r>
          </m:sub>
        </m:sSub>
        <m:r>
          <w:rPr>
            <w:rFonts w:ascii="Cambria Math" w:hAnsi="Cambria Math"/>
          </w:rPr>
          <m:t>}</m:t>
        </m:r>
      </m:oMath>
      <w:r w:rsidR="001B1BFA">
        <w:t xml:space="preserve">, and accordingly compute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</m:oMath>
      <w:r w:rsidR="001B1BFA">
        <w:t xml:space="preserve">. </w:t>
      </w:r>
    </w:p>
    <w:p w:rsidR="00D93C39" w:rsidRPr="00D93C39" w:rsidRDefault="00F0061D" w:rsidP="00D93C39">
      <w:r>
        <w:t xml:space="preserve">For purpose of evaluating </w:t>
      </w:r>
      <w:r w:rsidR="00E741D8">
        <w:t xml:space="preserve">the impact of </w:t>
      </w:r>
      <w:r>
        <w:t xml:space="preserve">advanced receivers like MMSE-IRC and eMMSE-IRC, it is important to </w:t>
      </w:r>
      <w:r w:rsidR="00E741D8">
        <w:t xml:space="preserve">consider a fractional </w:t>
      </w:r>
      <w:r>
        <w:t>r</w:t>
      </w:r>
      <w:r w:rsidR="001B1BFA">
        <w:t>esource utilization for dominant interferers</w:t>
      </w:r>
      <w:r w:rsidR="00E741D8">
        <w:t>. Fractional resource utilization reflects a practical scenario. Also, with an eMMSE-IRC receiver, UE needs to estimate TPR of the dominant interfering cells at a per-CCE level granularity</w:t>
      </w:r>
      <w:r w:rsidR="00F0328E">
        <w:t xml:space="preserve"> [3]</w:t>
      </w:r>
      <w:r w:rsidR="00E741D8">
        <w:t xml:space="preserve">. Hence, fractional resource utilization at the interfering cell (implying TPR=0 for some of the CCEs that are not scheduled) will help </w:t>
      </w:r>
      <w:r w:rsidR="0014767D">
        <w:t>verify</w:t>
      </w:r>
      <w:r w:rsidR="00E741D8">
        <w:t xml:space="preserve"> </w:t>
      </w:r>
      <w:r w:rsidR="00004B35">
        <w:t>proper T</w:t>
      </w:r>
      <w:r w:rsidR="00E741D8">
        <w:t>PR estimation capability of eMMSE-IRC receiver.</w:t>
      </w:r>
    </w:p>
    <w:p w:rsidR="005505C1" w:rsidRDefault="005505C1" w:rsidP="005505C1">
      <w:r>
        <w:t>Since advanced receiver to be investigated in the WI has CRS-IC and MMSE/</w:t>
      </w:r>
      <w:r w:rsidR="00E51EEB">
        <w:t>e</w:t>
      </w:r>
      <w:r>
        <w:t xml:space="preserve">MMSE-IRC operation, RAN4 should consider both high and low resource utilization factor. </w:t>
      </w:r>
    </w:p>
    <w:p w:rsidR="005505C1" w:rsidRDefault="005505C1" w:rsidP="005505C1">
      <w:r w:rsidRPr="004C54E4">
        <w:rPr>
          <w:b/>
        </w:rPr>
        <w:t>Proposal</w:t>
      </w:r>
      <w:r>
        <w:t xml:space="preserve"> </w:t>
      </w:r>
      <w:r w:rsidR="00BF1E2D">
        <w:t>3</w:t>
      </w:r>
      <w:r>
        <w:t>. Consider RU=10%, 50% and 80% as candidate RUs to determine interference profile.</w:t>
      </w:r>
    </w:p>
    <w:p w:rsidR="00CB0D9F" w:rsidRDefault="00CB0D9F" w:rsidP="00CB0D9F">
      <w:pPr>
        <w:pStyle w:val="Heading2"/>
      </w:pPr>
      <w:r>
        <w:t>C</w:t>
      </w:r>
      <w:r w:rsidR="00D5701D">
        <w:t>olliding vs. non-colliding C</w:t>
      </w:r>
      <w:r>
        <w:t xml:space="preserve">RS </w:t>
      </w:r>
    </w:p>
    <w:p w:rsidR="00E24E24" w:rsidRDefault="00CB0D9F" w:rsidP="00CB0D9F">
      <w:r>
        <w:t xml:space="preserve">The </w:t>
      </w:r>
      <w:r w:rsidR="00EB455B">
        <w:t xml:space="preserve">impact of advanced receivers like CRS-IC </w:t>
      </w:r>
      <w:r w:rsidR="0030375E">
        <w:t>and MMSE/</w:t>
      </w:r>
      <w:r w:rsidR="00E51EEB">
        <w:t>e</w:t>
      </w:r>
      <w:r w:rsidR="0030375E">
        <w:t xml:space="preserve">MMSE-IRC </w:t>
      </w:r>
      <w:r w:rsidR="00EB455B">
        <w:t xml:space="preserve">will depend on the </w:t>
      </w:r>
      <w:r>
        <w:t>location of CRS tones of the dominant interferer(s) relative to the CRS tones of the servin</w:t>
      </w:r>
      <w:r w:rsidR="00D5701D">
        <w:t>g cell</w:t>
      </w:r>
      <w:r w:rsidR="00EB455B">
        <w:t>.</w:t>
      </w:r>
      <w:r w:rsidR="00B809D8">
        <w:t xml:space="preserve"> Hence, we need to consider </w:t>
      </w:r>
      <w:r w:rsidR="004922FB">
        <w:t xml:space="preserve">both the cases where (1) CRS tones of dominant interferer is colliding and (2) CRS tones of dominant interferer is non-colliding. </w:t>
      </w:r>
      <w:r w:rsidR="00E24E24">
        <w:t xml:space="preserve">For second dominant interferer, we can consider different CRS collision than first dominant interferer. </w:t>
      </w:r>
    </w:p>
    <w:p w:rsidR="00E24E24" w:rsidRDefault="00E24E24" w:rsidP="00E24E24">
      <w:r w:rsidRPr="004C54E4">
        <w:rPr>
          <w:b/>
        </w:rPr>
        <w:t>Proposal</w:t>
      </w:r>
      <w:r>
        <w:t xml:space="preserve"> 4. Consider both (colliding, non-colliding) and (non-colliding</w:t>
      </w:r>
      <w:r w:rsidR="008A4564">
        <w:t xml:space="preserve">, colliding) CRS configuration in the investigation. </w:t>
      </w:r>
    </w:p>
    <w:p w:rsidR="001E2F82" w:rsidRDefault="001E2F82" w:rsidP="0046158D">
      <w:pPr>
        <w:pStyle w:val="Heading2"/>
        <w:rPr>
          <w:lang w:val="en-US"/>
        </w:rPr>
      </w:pPr>
      <w:r>
        <w:rPr>
          <w:lang w:val="en-US"/>
        </w:rPr>
        <w:lastRenderedPageBreak/>
        <w:t>TPR</w:t>
      </w:r>
    </w:p>
    <w:p w:rsidR="001E2F82" w:rsidRDefault="00A16130">
      <w:pPr>
        <w:rPr>
          <w:lang w:val="en-US"/>
        </w:rPr>
      </w:pPr>
      <w:r>
        <w:rPr>
          <w:lang w:val="en-US"/>
        </w:rPr>
        <w:t xml:space="preserve">TPR for PDCCH can be changed in eNB </w:t>
      </w:r>
      <w:r w:rsidR="00C15808">
        <w:rPr>
          <w:lang w:val="en-US"/>
        </w:rPr>
        <w:t>as a part of control channel outer loop to maintain reasonable control ch</w:t>
      </w:r>
      <w:r w:rsidR="00055B70">
        <w:rPr>
          <w:lang w:val="en-US"/>
        </w:rPr>
        <w:t xml:space="preserve">annel demodulation performance per UE. </w:t>
      </w:r>
      <w:r w:rsidR="00A14D05">
        <w:rPr>
          <w:lang w:val="en-US"/>
        </w:rPr>
        <w:t>Also, we pointed out that</w:t>
      </w:r>
      <w:r w:rsidR="00CB11A1">
        <w:rPr>
          <w:lang w:val="en-US"/>
        </w:rPr>
        <w:t xml:space="preserve"> </w:t>
      </w:r>
      <w:r w:rsidR="00E51EEB">
        <w:rPr>
          <w:lang w:val="en-US"/>
        </w:rPr>
        <w:t xml:space="preserve">operation of eMMSE-IRC receiver requires TPR per-CCE TPR estimation [3]. </w:t>
      </w:r>
      <w:r w:rsidR="00A14D05">
        <w:rPr>
          <w:lang w:val="en-US"/>
        </w:rPr>
        <w:t xml:space="preserve">Therefore, TPR of PDCCH in interference cell should be modeled as dynamically changing per UE in each subframe. </w:t>
      </w:r>
      <w:r w:rsidR="0059175D">
        <w:rPr>
          <w:lang w:val="en-US"/>
        </w:rPr>
        <w:t xml:space="preserve">RAN4 should determine TPR range of PDCCH based on the input from operators and infra vendors. </w:t>
      </w:r>
    </w:p>
    <w:p w:rsidR="0059175D" w:rsidRDefault="0059175D" w:rsidP="0059175D">
      <w:r w:rsidRPr="004C54E4">
        <w:rPr>
          <w:b/>
        </w:rPr>
        <w:t>Proposal</w:t>
      </w:r>
      <w:r>
        <w:t xml:space="preserve"> 5. Interference model should include random TPR variation with per UE and per subframe granularity. </w:t>
      </w:r>
    </w:p>
    <w:p w:rsidR="00D914E4" w:rsidRDefault="00862457" w:rsidP="0046158D">
      <w:pPr>
        <w:pStyle w:val="Heading2"/>
        <w:rPr>
          <w:lang w:val="en-US"/>
        </w:rPr>
      </w:pPr>
      <w:r>
        <w:rPr>
          <w:lang w:val="en-US"/>
        </w:rPr>
        <w:t>Control channel modeling</w:t>
      </w:r>
    </w:p>
    <w:p w:rsidR="00610D21" w:rsidRDefault="00610D21">
      <w:pPr>
        <w:rPr>
          <w:lang w:val="en-US"/>
        </w:rPr>
      </w:pPr>
      <w:r>
        <w:rPr>
          <w:lang w:val="en-US"/>
        </w:rPr>
        <w:t>For proper evaluation of eMMSE-IRC receiver performance, we should have explicit model</w:t>
      </w:r>
      <w:r w:rsidR="004A7794">
        <w:rPr>
          <w:lang w:val="en-US"/>
        </w:rPr>
        <w:t xml:space="preserve">ing of PCFICH, PHICH and PDCCH. </w:t>
      </w:r>
      <w:r w:rsidR="00BB7288">
        <w:rPr>
          <w:lang w:val="en-US"/>
        </w:rPr>
        <w:t xml:space="preserve">For simplicity, PHICH can be modeled </w:t>
      </w:r>
      <w:r w:rsidR="00926438">
        <w:rPr>
          <w:lang w:val="en-US"/>
        </w:rPr>
        <w:t xml:space="preserve">as random </w:t>
      </w:r>
      <w:r w:rsidR="00BB7288">
        <w:rPr>
          <w:lang w:val="en-US"/>
        </w:rPr>
        <w:t>ON/OFF</w:t>
      </w:r>
      <w:r w:rsidR="00926438">
        <w:rPr>
          <w:lang w:val="en-US"/>
        </w:rPr>
        <w:t xml:space="preserve"> in subframe granularity</w:t>
      </w:r>
      <w:r w:rsidR="005257D6">
        <w:rPr>
          <w:lang w:val="en-US"/>
        </w:rPr>
        <w:t xml:space="preserve"> with ON probability equal to RU</w:t>
      </w:r>
      <w:r w:rsidR="00926438">
        <w:rPr>
          <w:lang w:val="en-US"/>
        </w:rPr>
        <w:t xml:space="preserve">. </w:t>
      </w:r>
      <w:r w:rsidR="005257D6">
        <w:rPr>
          <w:lang w:val="en-US"/>
        </w:rPr>
        <w:t xml:space="preserve">For PDCCH, </w:t>
      </w:r>
      <w:r w:rsidR="00F94C1D">
        <w:rPr>
          <w:lang w:val="en-US"/>
        </w:rPr>
        <w:t xml:space="preserve">for each </w:t>
      </w:r>
      <w:r w:rsidR="001677B6">
        <w:rPr>
          <w:lang w:val="en-US"/>
        </w:rPr>
        <w:t xml:space="preserve">RU, </w:t>
      </w:r>
      <w:r w:rsidR="00A2002F">
        <w:rPr>
          <w:lang w:val="en-US"/>
        </w:rPr>
        <w:t xml:space="preserve">we can specify </w:t>
      </w:r>
      <w:r w:rsidR="00F94C1D">
        <w:rPr>
          <w:lang w:val="en-US"/>
        </w:rPr>
        <w:t xml:space="preserve">number </w:t>
      </w:r>
      <w:r w:rsidR="001677B6">
        <w:rPr>
          <w:lang w:val="en-US"/>
        </w:rPr>
        <w:t xml:space="preserve">of control channels and aggregation level for each control channel to achieve </w:t>
      </w:r>
      <w:r w:rsidR="00D61A7C">
        <w:rPr>
          <w:lang w:val="en-US"/>
        </w:rPr>
        <w:t xml:space="preserve">target </w:t>
      </w:r>
      <w:r w:rsidR="001677B6">
        <w:rPr>
          <w:lang w:val="en-US"/>
        </w:rPr>
        <w:t xml:space="preserve">RU. </w:t>
      </w:r>
      <w:r w:rsidR="006F5551">
        <w:rPr>
          <w:lang w:val="en-US"/>
        </w:rPr>
        <w:t xml:space="preserve">We can also specify a few candidates for control channel allocation on CCEs to allow randomization of resource allocation in different subframes. </w:t>
      </w:r>
    </w:p>
    <w:p w:rsidR="002E506D" w:rsidRDefault="002E506D" w:rsidP="002E506D">
      <w:r w:rsidRPr="004C54E4">
        <w:rPr>
          <w:b/>
        </w:rPr>
        <w:t>Proposal</w:t>
      </w:r>
      <w:r>
        <w:t xml:space="preserve"> 6. </w:t>
      </w:r>
      <w:r w:rsidR="00E604E6">
        <w:t>Explicitly</w:t>
      </w:r>
      <w:r>
        <w:t xml:space="preserve"> model PCFICH, PHICH and PDCCH in the </w:t>
      </w:r>
      <w:r w:rsidR="008371B3">
        <w:t>interferer</w:t>
      </w:r>
      <w:r>
        <w:t xml:space="preserve"> cell. </w:t>
      </w:r>
    </w:p>
    <w:p w:rsidR="00D67C34" w:rsidRDefault="00D67C34" w:rsidP="00D67C34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:rsidR="00915743" w:rsidRDefault="00D67C34" w:rsidP="00D67C34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D67C34">
        <w:rPr>
          <w:rFonts w:eastAsiaTheme="minorHAnsi"/>
          <w:lang w:val="en-US"/>
        </w:rPr>
        <w:t xml:space="preserve">In this contribution, we described </w:t>
      </w:r>
      <w:r w:rsidR="00D644E5">
        <w:rPr>
          <w:rFonts w:eastAsiaTheme="minorHAnsi"/>
          <w:lang w:val="en-US"/>
        </w:rPr>
        <w:t>the critical parameters that are required for modelling interfer</w:t>
      </w:r>
      <w:r w:rsidR="001B1495">
        <w:rPr>
          <w:rFonts w:eastAsiaTheme="minorHAnsi"/>
          <w:lang w:val="en-US"/>
        </w:rPr>
        <w:t xml:space="preserve">ence in control channel. </w:t>
      </w:r>
      <w:r w:rsidR="007D7B78">
        <w:rPr>
          <w:rFonts w:eastAsiaTheme="minorHAnsi"/>
          <w:lang w:val="en-US"/>
        </w:rPr>
        <w:t xml:space="preserve">Our </w:t>
      </w:r>
      <w:r w:rsidR="00E604E6">
        <w:rPr>
          <w:rFonts w:eastAsiaTheme="minorHAnsi"/>
          <w:lang w:val="en-US"/>
        </w:rPr>
        <w:t>proposals</w:t>
      </w:r>
      <w:r w:rsidR="007D7B78">
        <w:rPr>
          <w:rFonts w:eastAsiaTheme="minorHAnsi"/>
          <w:lang w:val="en-US"/>
        </w:rPr>
        <w:t xml:space="preserve"> are</w:t>
      </w:r>
    </w:p>
    <w:p w:rsidR="007D7B78" w:rsidRDefault="007D7B78" w:rsidP="00D67C34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</w:p>
    <w:p w:rsidR="007D7B78" w:rsidRDefault="007D7B78" w:rsidP="007D7B78">
      <w:r w:rsidRPr="004C54E4">
        <w:rPr>
          <w:b/>
        </w:rPr>
        <w:t>Proposal</w:t>
      </w:r>
      <w:r>
        <w:t xml:space="preserve"> 1. Reuse system level study result from CRS-IM WI for interference profile with two explicitly </w:t>
      </w:r>
      <w:r w:rsidR="00E604E6">
        <w:t>modelled</w:t>
      </w:r>
      <w:r>
        <w:t xml:space="preserve"> dominant interference cells. </w:t>
      </w:r>
    </w:p>
    <w:p w:rsidR="007D7B78" w:rsidRPr="00864D63" w:rsidRDefault="007D7B78" w:rsidP="007D7B78">
      <w:r w:rsidRPr="004C54E4">
        <w:rPr>
          <w:b/>
        </w:rPr>
        <w:t>Proposal</w:t>
      </w:r>
      <w:r>
        <w:t xml:space="preserve"> 2. Assume that CFI of interfering cell is same as that of serving cell. </w:t>
      </w:r>
    </w:p>
    <w:p w:rsidR="007D7B78" w:rsidRDefault="007D7B78" w:rsidP="007D7B78">
      <w:r w:rsidRPr="004C54E4">
        <w:rPr>
          <w:b/>
        </w:rPr>
        <w:t>Proposal</w:t>
      </w:r>
      <w:r>
        <w:t xml:space="preserve"> 3. Consider RU=10%, 50% and 80% as candidate RUs to determine interference profile.</w:t>
      </w:r>
    </w:p>
    <w:p w:rsidR="007D7B78" w:rsidRDefault="007D7B78" w:rsidP="007D7B78">
      <w:r w:rsidRPr="004C54E4">
        <w:rPr>
          <w:b/>
        </w:rPr>
        <w:t>Proposal</w:t>
      </w:r>
      <w:r>
        <w:t xml:space="preserve"> 4. Consider both (colliding, non-colliding) and (non-colliding, colliding) CRS configuration in the investigation. </w:t>
      </w:r>
    </w:p>
    <w:p w:rsidR="007D7B78" w:rsidRDefault="007D7B78" w:rsidP="007D7B78">
      <w:r w:rsidRPr="004C54E4">
        <w:rPr>
          <w:b/>
        </w:rPr>
        <w:t>Proposal</w:t>
      </w:r>
      <w:r>
        <w:t xml:space="preserve"> 5. Interference model should include random TPR variation with per UE and per sub</w:t>
      </w:r>
      <w:r w:rsidR="00EC1E8D">
        <w:t>f</w:t>
      </w:r>
      <w:r>
        <w:t xml:space="preserve">rame granularity. </w:t>
      </w:r>
    </w:p>
    <w:p w:rsidR="007D7B78" w:rsidRDefault="007D7B78" w:rsidP="007D7B78">
      <w:r w:rsidRPr="004C54E4">
        <w:rPr>
          <w:b/>
        </w:rPr>
        <w:t>Proposal</w:t>
      </w:r>
      <w:r>
        <w:t xml:space="preserve"> 6. </w:t>
      </w:r>
      <w:r w:rsidR="00E604E6">
        <w:t>Explicitly</w:t>
      </w:r>
      <w:r>
        <w:t xml:space="preserve"> model PCFICH, PHICH and PDCCH in the interferer cell. </w:t>
      </w:r>
    </w:p>
    <w:p w:rsidR="00915743" w:rsidRDefault="00915743" w:rsidP="00915743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</w:p>
    <w:p w:rsidR="00915743" w:rsidRPr="00915743" w:rsidRDefault="00915743" w:rsidP="00915743">
      <w:pPr>
        <w:pStyle w:val="PlainText"/>
        <w:rPr>
          <w:rFonts w:ascii="Times New Roman" w:hAnsi="Times New Roman"/>
          <w:sz w:val="20"/>
          <w:szCs w:val="20"/>
        </w:rPr>
      </w:pPr>
      <w:r w:rsidRPr="00915743">
        <w:rPr>
          <w:rFonts w:ascii="Times New Roman" w:hAnsi="Times New Roman"/>
          <w:sz w:val="20"/>
          <w:szCs w:val="20"/>
        </w:rPr>
        <w:t>[1] RP-151107, “New WI proposal: Interference mitigation for downlink control channels of LTE”, Intel Corporation, ZTE, RAN #68, June 2015</w:t>
      </w:r>
    </w:p>
    <w:p w:rsidR="00915743" w:rsidRDefault="00915743" w:rsidP="00915743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</w:p>
    <w:p w:rsidR="00915743" w:rsidRDefault="00CB03AE" w:rsidP="00915743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[2] 3GPP TR 36.363</w:t>
      </w:r>
      <w:r w:rsidR="00915743" w:rsidRPr="00915743">
        <w:rPr>
          <w:rFonts w:eastAsiaTheme="minorHAnsi"/>
          <w:lang w:val="en-US"/>
        </w:rPr>
        <w:t xml:space="preserve"> V1</w:t>
      </w:r>
      <w:r>
        <w:rPr>
          <w:rFonts w:eastAsiaTheme="minorHAnsi"/>
          <w:lang w:val="en-US"/>
        </w:rPr>
        <w:t>2</w:t>
      </w:r>
      <w:r w:rsidR="00915743" w:rsidRPr="00915743">
        <w:rPr>
          <w:rFonts w:eastAsiaTheme="minorHAnsi"/>
          <w:lang w:val="en-US"/>
        </w:rPr>
        <w:t>.</w:t>
      </w:r>
      <w:r>
        <w:rPr>
          <w:rFonts w:eastAsiaTheme="minorHAnsi"/>
          <w:lang w:val="en-US"/>
        </w:rPr>
        <w:t>0</w:t>
      </w:r>
      <w:r w:rsidR="00915743" w:rsidRPr="00915743">
        <w:rPr>
          <w:rFonts w:eastAsiaTheme="minorHAnsi"/>
          <w:lang w:val="en-US"/>
        </w:rPr>
        <w:t>.0,"</w:t>
      </w:r>
      <w:r>
        <w:rPr>
          <w:rFonts w:eastAsiaTheme="minorHAnsi"/>
          <w:lang w:val="en-US"/>
        </w:rPr>
        <w:t>Study on Cell-specific Reference Signals (CRS) interference mitigation for homogenous deployments of LTE</w:t>
      </w:r>
      <w:r w:rsidR="00915743" w:rsidRPr="00915743">
        <w:rPr>
          <w:rFonts w:eastAsiaTheme="minorHAnsi"/>
          <w:lang w:val="en-US"/>
        </w:rPr>
        <w:t>,"2013</w:t>
      </w:r>
    </w:p>
    <w:p w:rsidR="005561B2" w:rsidRDefault="005561B2" w:rsidP="00915743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</w:p>
    <w:p w:rsidR="00915743" w:rsidRPr="000C5D36" w:rsidRDefault="005561B2" w:rsidP="00915743">
      <w:pPr>
        <w:pStyle w:val="PlainText"/>
        <w:rPr>
          <w:rFonts w:ascii="Times New Roman" w:hAnsi="Times New Roman"/>
        </w:rPr>
      </w:pPr>
      <w:r w:rsidRPr="000C5D36">
        <w:rPr>
          <w:rFonts w:ascii="Times New Roman" w:eastAsiaTheme="minorHAnsi" w:hAnsi="Times New Roman"/>
        </w:rPr>
        <w:t>[3] RP-156460, “</w:t>
      </w:r>
      <w:r w:rsidRPr="000C5D36">
        <w:rPr>
          <w:rFonts w:ascii="Times New Roman" w:hAnsi="Times New Roman"/>
          <w:sz w:val="20"/>
          <w:szCs w:val="20"/>
        </w:rPr>
        <w:t>Reference receiver for control channel interference mitigation</w:t>
      </w:r>
      <w:r w:rsidRPr="000C5D36">
        <w:rPr>
          <w:rFonts w:ascii="Times New Roman" w:hAnsi="Times New Roman"/>
        </w:rPr>
        <w:t>,</w:t>
      </w:r>
      <w:r w:rsidRPr="000C5D36">
        <w:rPr>
          <w:rFonts w:ascii="Times New Roman" w:eastAsiaTheme="minorHAnsi" w:hAnsi="Times New Roman"/>
        </w:rPr>
        <w:t>” Qualcomm, TSG-RAN #76bis, October 2015</w:t>
      </w:r>
    </w:p>
    <w:p w:rsidR="00915743" w:rsidRDefault="00915743" w:rsidP="00915743">
      <w:pPr>
        <w:rPr>
          <w:lang w:val="en-US"/>
        </w:rPr>
      </w:pPr>
    </w:p>
    <w:p w:rsidR="00915743" w:rsidRPr="00915743" w:rsidRDefault="00915743" w:rsidP="00915743">
      <w:pPr>
        <w:rPr>
          <w:lang w:val="en-US"/>
        </w:rPr>
      </w:pPr>
    </w:p>
    <w:p w:rsidR="00D67C34" w:rsidRPr="009213BB" w:rsidRDefault="00D67C34" w:rsidP="009213BB">
      <w:pPr>
        <w:autoSpaceDE w:val="0"/>
        <w:autoSpaceDN w:val="0"/>
        <w:adjustRightInd w:val="0"/>
        <w:spacing w:after="0"/>
      </w:pPr>
    </w:p>
    <w:sectPr w:rsidR="00D67C34" w:rsidRPr="009213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74969"/>
    <w:multiLevelType w:val="hybridMultilevel"/>
    <w:tmpl w:val="E934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45E1A"/>
    <w:multiLevelType w:val="multilevel"/>
    <w:tmpl w:val="AF2CBF9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7C27405"/>
    <w:multiLevelType w:val="hybridMultilevel"/>
    <w:tmpl w:val="55642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96F73"/>
    <w:multiLevelType w:val="hybridMultilevel"/>
    <w:tmpl w:val="8FF63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9F0"/>
    <w:multiLevelType w:val="multilevel"/>
    <w:tmpl w:val="2996DA7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BB5"/>
    <w:rsid w:val="00004B35"/>
    <w:rsid w:val="000202F4"/>
    <w:rsid w:val="00026ED3"/>
    <w:rsid w:val="00040DB4"/>
    <w:rsid w:val="00055B70"/>
    <w:rsid w:val="00067743"/>
    <w:rsid w:val="00080635"/>
    <w:rsid w:val="00091A99"/>
    <w:rsid w:val="000C5D36"/>
    <w:rsid w:val="000E4946"/>
    <w:rsid w:val="000F2CB6"/>
    <w:rsid w:val="001069E7"/>
    <w:rsid w:val="00110A2C"/>
    <w:rsid w:val="00115977"/>
    <w:rsid w:val="00126AD4"/>
    <w:rsid w:val="00136428"/>
    <w:rsid w:val="0014767D"/>
    <w:rsid w:val="001677B6"/>
    <w:rsid w:val="00173E7A"/>
    <w:rsid w:val="00183441"/>
    <w:rsid w:val="001910F9"/>
    <w:rsid w:val="001A35E6"/>
    <w:rsid w:val="001A7F73"/>
    <w:rsid w:val="001B1495"/>
    <w:rsid w:val="001B1BFA"/>
    <w:rsid w:val="001C1FC7"/>
    <w:rsid w:val="001C2E47"/>
    <w:rsid w:val="001D7E9D"/>
    <w:rsid w:val="001E2F82"/>
    <w:rsid w:val="001E3ED3"/>
    <w:rsid w:val="001E559E"/>
    <w:rsid w:val="0024757C"/>
    <w:rsid w:val="00274CFA"/>
    <w:rsid w:val="002B5373"/>
    <w:rsid w:val="002D2A32"/>
    <w:rsid w:val="002D4BBB"/>
    <w:rsid w:val="002E506D"/>
    <w:rsid w:val="0030375E"/>
    <w:rsid w:val="00312D72"/>
    <w:rsid w:val="00314E4F"/>
    <w:rsid w:val="00316406"/>
    <w:rsid w:val="003365E5"/>
    <w:rsid w:val="00347DE1"/>
    <w:rsid w:val="003540F5"/>
    <w:rsid w:val="003637D1"/>
    <w:rsid w:val="00366AD4"/>
    <w:rsid w:val="003A2C81"/>
    <w:rsid w:val="003A3C43"/>
    <w:rsid w:val="003A5984"/>
    <w:rsid w:val="003B0C39"/>
    <w:rsid w:val="003D599E"/>
    <w:rsid w:val="003E5FD8"/>
    <w:rsid w:val="003F6BDD"/>
    <w:rsid w:val="0042526F"/>
    <w:rsid w:val="0046158D"/>
    <w:rsid w:val="00475CD7"/>
    <w:rsid w:val="0047768E"/>
    <w:rsid w:val="004922FB"/>
    <w:rsid w:val="004A7794"/>
    <w:rsid w:val="005133AB"/>
    <w:rsid w:val="00514CFA"/>
    <w:rsid w:val="005234FE"/>
    <w:rsid w:val="005257D6"/>
    <w:rsid w:val="0054220F"/>
    <w:rsid w:val="005505C1"/>
    <w:rsid w:val="005561B2"/>
    <w:rsid w:val="00571EDB"/>
    <w:rsid w:val="00576B5B"/>
    <w:rsid w:val="0059175D"/>
    <w:rsid w:val="00593566"/>
    <w:rsid w:val="005E2FEF"/>
    <w:rsid w:val="005F1A0D"/>
    <w:rsid w:val="005F2EAB"/>
    <w:rsid w:val="00602A90"/>
    <w:rsid w:val="00607EB9"/>
    <w:rsid w:val="00610D21"/>
    <w:rsid w:val="00620F1A"/>
    <w:rsid w:val="00622249"/>
    <w:rsid w:val="00661462"/>
    <w:rsid w:val="006C2EAC"/>
    <w:rsid w:val="006F2D3C"/>
    <w:rsid w:val="006F4997"/>
    <w:rsid w:val="006F5551"/>
    <w:rsid w:val="0070706D"/>
    <w:rsid w:val="00732ACF"/>
    <w:rsid w:val="007379C7"/>
    <w:rsid w:val="00740C1C"/>
    <w:rsid w:val="007568A4"/>
    <w:rsid w:val="00773AE2"/>
    <w:rsid w:val="00781165"/>
    <w:rsid w:val="00782D96"/>
    <w:rsid w:val="007A1D9A"/>
    <w:rsid w:val="007A61D2"/>
    <w:rsid w:val="007B3491"/>
    <w:rsid w:val="007D7B78"/>
    <w:rsid w:val="007E0B75"/>
    <w:rsid w:val="007E15AA"/>
    <w:rsid w:val="007E4A09"/>
    <w:rsid w:val="007F3C1A"/>
    <w:rsid w:val="007F58B2"/>
    <w:rsid w:val="00827CF0"/>
    <w:rsid w:val="008371B3"/>
    <w:rsid w:val="00846E96"/>
    <w:rsid w:val="00847B0B"/>
    <w:rsid w:val="00861D59"/>
    <w:rsid w:val="00862457"/>
    <w:rsid w:val="00864D63"/>
    <w:rsid w:val="00872DF9"/>
    <w:rsid w:val="00896593"/>
    <w:rsid w:val="008A4564"/>
    <w:rsid w:val="008C05BC"/>
    <w:rsid w:val="008E0EFA"/>
    <w:rsid w:val="008E42D0"/>
    <w:rsid w:val="008F1F09"/>
    <w:rsid w:val="008F7C00"/>
    <w:rsid w:val="00915743"/>
    <w:rsid w:val="009213BB"/>
    <w:rsid w:val="00926438"/>
    <w:rsid w:val="00947C47"/>
    <w:rsid w:val="009640A0"/>
    <w:rsid w:val="00971078"/>
    <w:rsid w:val="00981875"/>
    <w:rsid w:val="009932A2"/>
    <w:rsid w:val="009A1BD8"/>
    <w:rsid w:val="009F5509"/>
    <w:rsid w:val="00A04293"/>
    <w:rsid w:val="00A04690"/>
    <w:rsid w:val="00A14D05"/>
    <w:rsid w:val="00A16130"/>
    <w:rsid w:val="00A2002F"/>
    <w:rsid w:val="00A27F6B"/>
    <w:rsid w:val="00A61BB5"/>
    <w:rsid w:val="00A64F46"/>
    <w:rsid w:val="00A90F5B"/>
    <w:rsid w:val="00A90F99"/>
    <w:rsid w:val="00AB5269"/>
    <w:rsid w:val="00B012FC"/>
    <w:rsid w:val="00B3308C"/>
    <w:rsid w:val="00B42FA7"/>
    <w:rsid w:val="00B5711F"/>
    <w:rsid w:val="00B6726F"/>
    <w:rsid w:val="00B71C94"/>
    <w:rsid w:val="00B809D8"/>
    <w:rsid w:val="00BA64FB"/>
    <w:rsid w:val="00BB6B28"/>
    <w:rsid w:val="00BB7288"/>
    <w:rsid w:val="00BE6AF6"/>
    <w:rsid w:val="00BF1593"/>
    <w:rsid w:val="00BF1E2D"/>
    <w:rsid w:val="00C15808"/>
    <w:rsid w:val="00C8408C"/>
    <w:rsid w:val="00C87493"/>
    <w:rsid w:val="00C97C2D"/>
    <w:rsid w:val="00CB03AE"/>
    <w:rsid w:val="00CB0D9F"/>
    <w:rsid w:val="00CB11A1"/>
    <w:rsid w:val="00CC16EF"/>
    <w:rsid w:val="00CE13BA"/>
    <w:rsid w:val="00CF1195"/>
    <w:rsid w:val="00D543F3"/>
    <w:rsid w:val="00D5701D"/>
    <w:rsid w:val="00D61A7C"/>
    <w:rsid w:val="00D644E5"/>
    <w:rsid w:val="00D67C34"/>
    <w:rsid w:val="00D914E4"/>
    <w:rsid w:val="00D93470"/>
    <w:rsid w:val="00D93C39"/>
    <w:rsid w:val="00DA6260"/>
    <w:rsid w:val="00DB01BF"/>
    <w:rsid w:val="00DC0876"/>
    <w:rsid w:val="00DE09BE"/>
    <w:rsid w:val="00DF5FFB"/>
    <w:rsid w:val="00DF78EC"/>
    <w:rsid w:val="00E00401"/>
    <w:rsid w:val="00E1735E"/>
    <w:rsid w:val="00E24E24"/>
    <w:rsid w:val="00E30CE5"/>
    <w:rsid w:val="00E51EEB"/>
    <w:rsid w:val="00E604E6"/>
    <w:rsid w:val="00E664AF"/>
    <w:rsid w:val="00E741D8"/>
    <w:rsid w:val="00E900FF"/>
    <w:rsid w:val="00EB455B"/>
    <w:rsid w:val="00EC1E8D"/>
    <w:rsid w:val="00EE16EB"/>
    <w:rsid w:val="00F0061D"/>
    <w:rsid w:val="00F025D8"/>
    <w:rsid w:val="00F0328E"/>
    <w:rsid w:val="00F26224"/>
    <w:rsid w:val="00F330FC"/>
    <w:rsid w:val="00F5099F"/>
    <w:rsid w:val="00F65E9B"/>
    <w:rsid w:val="00F67DD2"/>
    <w:rsid w:val="00F726A4"/>
    <w:rsid w:val="00F831A3"/>
    <w:rsid w:val="00F94C1D"/>
    <w:rsid w:val="00F95AF8"/>
    <w:rsid w:val="00FC0E39"/>
    <w:rsid w:val="00FE1380"/>
    <w:rsid w:val="00FE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05FB1D-8EBC-4A37-B363-DA63FE3B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BB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A61BB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1BB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1BB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1BB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1BB5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A61BB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61BB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1BB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1BB5"/>
    <w:rPr>
      <w:color w:val="808080"/>
    </w:rPr>
  </w:style>
  <w:style w:type="character" w:customStyle="1" w:styleId="Heading1Char">
    <w:name w:val="Heading 1 Char"/>
    <w:aliases w:val="H1 Char"/>
    <w:basedOn w:val="DefaultParagraphFont"/>
    <w:link w:val="Heading1"/>
    <w:rsid w:val="00A61BB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61BB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61BB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61BB5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61BB5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61BB5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61BB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61BB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61BB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61BB5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BB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1BB5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basedOn w:val="Normal"/>
    <w:uiPriority w:val="34"/>
    <w:qFormat/>
    <w:rsid w:val="009213B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915743"/>
    <w:pPr>
      <w:spacing w:after="0"/>
    </w:pPr>
    <w:rPr>
      <w:rFonts w:ascii="Calibri" w:eastAsia="Times New Roman" w:hAnsi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15743"/>
    <w:rPr>
      <w:rFonts w:ascii="Calibri" w:eastAsia="Times New Roman" w:hAnsi="Calibri" w:cs="Times New Roman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6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6EB"/>
    <w:rPr>
      <w:rFonts w:ascii="Segoe UI" w:eastAsia="MS Mincho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E16E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Sahai, Achaleshwar</dc:creator>
  <cp:keywords/>
  <dc:description/>
  <cp:lastModifiedBy>Ryu, Jaeho</cp:lastModifiedBy>
  <cp:revision>30</cp:revision>
  <dcterms:created xsi:type="dcterms:W3CDTF">2015-10-01T18:44:00Z</dcterms:created>
  <dcterms:modified xsi:type="dcterms:W3CDTF">2015-10-05T17:52:00Z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Template_Bulk_TDoc_Allocation </vt:lpwstr>
  </property>
  <property fmtid="{D5CDD505-2E9C-101B-9397-08002B2CF9AE}" pid="4" name="_AuthorEmail">
    <vt:lpwstr>sahaia@qti.qualcomm.com</vt:lpwstr>
  </property>
  <property fmtid="{D5CDD505-2E9C-101B-9397-08002B2CF9AE}" pid="5" name="_AuthorEmailDisplayName">
    <vt:lpwstr>Sahai, Achaleshwar</vt:lpwstr>
  </property>
  <property fmtid="{D5CDD505-2E9C-101B-9397-08002B2CF9AE}" pid="6" name="_AdHocReviewCycleID">
    <vt:i4>-1034183060</vt:i4>
  </property>
  <property fmtid="{D5CDD505-2E9C-101B-9397-08002B2CF9AE}" pid="7" name="_ReviewingToolsShownOnce">
    <vt:lpwstr/>
  </property>
</Properties>
</file>